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הוק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1"/>
        </w:rPr>
        <w:t xml:space="preserve">קפיץ</w:t>
      </w:r>
    </w:p>
    <w:p w:rsidR="00000000" w:rsidDel="00000000" w:rsidP="00000000" w:rsidRDefault="00000000" w:rsidRPr="00000000" w14:paraId="00000002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מטרת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הניסוי</w:t>
            </w:r>
          </w:p>
        </w:tc>
      </w:tr>
    </w:tbl>
    <w:p w:rsidR="00000000" w:rsidDel="00000000" w:rsidP="00000000" w:rsidRDefault="00000000" w:rsidRPr="00000000" w14:paraId="0000000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מציאת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נתון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ואימות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5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התיאוריה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שבבסיס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הניסוי</w:t>
            </w:r>
          </w:p>
        </w:tc>
      </w:tr>
    </w:tbl>
    <w:p w:rsidR="00000000" w:rsidDel="00000000" w:rsidP="00000000" w:rsidRDefault="00000000" w:rsidRPr="00000000" w14:paraId="00000007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מציג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הפועל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מידת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התארכותו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היחס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ביניהם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האלסטיות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</w:t>
      </w:r>
      <m:oMath>
        <m:r>
          <m:t>Σ</m:t>
        </m:r>
        <m:r>
          <w:rPr>
            <w:rFonts w:ascii="Cambria Math" w:cs="Cambria Math" w:eastAsia="Cambria Math" w:hAnsi="Cambria Math"/>
          </w:rPr>
          <m:t xml:space="preserve">F= </m:t>
        </m:r>
        <m:r>
          <w:rPr>
            <w:rFonts w:ascii="Cambria Math" w:cs="Cambria Math" w:eastAsia="Cambria Math" w:hAnsi="Cambria Math"/>
          </w:rPr>
          <m:t>Δ</m:t>
        </m:r>
        <m:r>
          <w:rPr>
            <w:rFonts w:ascii="Cambria Math" w:cs="Cambria Math" w:eastAsia="Cambria Math" w:hAnsi="Cambria Math"/>
          </w:rPr>
          <m:t xml:space="preserve">Xk</m:t>
        </m:r>
      </m:oMath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כלומר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הכוחות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הפועלים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שווים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לשינוי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באורכו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כפול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\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].</w:t>
      </w:r>
    </w:p>
    <w:p w:rsidR="00000000" w:rsidDel="00000000" w:rsidP="00000000" w:rsidRDefault="00000000" w:rsidRPr="00000000" w14:paraId="00000009">
      <w:pPr>
        <w:bidi w:val="1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מאפיין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והוא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להפעיל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להאריך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אותו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במטר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רשימת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ציוד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סטטיב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קפיץ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משקולות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סרגל</w:t>
      </w:r>
    </w:p>
    <w:p w:rsidR="00000000" w:rsidDel="00000000" w:rsidP="00000000" w:rsidRDefault="00000000" w:rsidRPr="00000000" w14:paraId="00000010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תיאור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מערכת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הניסוי</w:t>
            </w:r>
          </w:p>
        </w:tc>
      </w:tr>
    </w:tbl>
    <w:p w:rsidR="00000000" w:rsidDel="00000000" w:rsidP="00000000" w:rsidRDefault="00000000" w:rsidRPr="00000000" w14:paraId="00000012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הערכה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מורכבת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המוחזק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רפוי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באוויר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אליו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מחובר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בכדי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להכניס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משקולות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להאריך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מאחורי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סרגל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בעזרתו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למדוד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תיאור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מהלך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הניסוי</w:t>
            </w:r>
          </w:p>
        </w:tc>
      </w:tr>
    </w:tbl>
    <w:p w:rsidR="00000000" w:rsidDel="00000000" w:rsidP="00000000" w:rsidRDefault="00000000" w:rsidRPr="00000000" w14:paraId="00000016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תחילה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מרכיבים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ערכת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הניסוי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ומכוונים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הסרגל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0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שלו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בסוף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7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כעת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מוסיפים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משקולת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ומודדים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באורך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כותבים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תוצאות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המדידה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וחוזרים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הפעולה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פעמים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מסרטטים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גרף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הפועל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כפונקציה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השינוי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בהתארכות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ידי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שיפוע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הגרף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מוצאים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קבוע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ומחשבים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אחוז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שגיאה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הערך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הידוע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לערך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הנמצא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שגיאות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אפשריות</w:t>
            </w:r>
          </w:p>
        </w:tc>
      </w:tr>
    </w:tbl>
    <w:p w:rsidR="00000000" w:rsidDel="00000000" w:rsidP="00000000" w:rsidRDefault="00000000" w:rsidRPr="00000000" w14:paraId="0000001C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חוסר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דיוק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המדידות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קשה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לראות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הסרגל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בדיוק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האורך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האלסטיות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עלולה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להיות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פגועה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ויש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טיפה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משקל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המפעיל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כוח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הקפיץ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תוצאות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הניסוי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74"/>
        <w:gridCol w:w="2074"/>
        <w:gridCol w:w="2074"/>
        <w:gridCol w:w="2074"/>
        <w:tblGridChange w:id="0">
          <w:tblGrid>
            <w:gridCol w:w="2074"/>
            <w:gridCol w:w="2074"/>
            <w:gridCol w:w="2074"/>
            <w:gridCol w:w="2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מספר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המשקולות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מסת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המשקולות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kg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</w:t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הכוח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המופעל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הקפיץ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התארכות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הקפיץ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[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0.02</w:t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0.2</w:t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0.04</w:t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0.4</w:t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0.029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0.06</w:t>
            </w:r>
          </w:p>
        </w:tc>
        <w:tc>
          <w:tcPr/>
          <w:p w:rsidR="00000000" w:rsidDel="00000000" w:rsidP="00000000" w:rsidRDefault="00000000" w:rsidRPr="00000000" w14:paraId="0000004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0.6</w:t>
            </w:r>
          </w:p>
        </w:tc>
        <w:tc>
          <w:tcPr/>
          <w:p w:rsidR="00000000" w:rsidDel="00000000" w:rsidP="00000000" w:rsidRDefault="00000000" w:rsidRPr="00000000" w14:paraId="0000004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0.042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0.08</w:t>
            </w:r>
          </w:p>
        </w:tc>
        <w:tc>
          <w:tcPr/>
          <w:p w:rsidR="00000000" w:rsidDel="00000000" w:rsidP="00000000" w:rsidRDefault="00000000" w:rsidRPr="00000000" w14:paraId="0000004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0.8</w:t>
            </w:r>
          </w:p>
        </w:tc>
        <w:tc>
          <w:tcPr/>
          <w:p w:rsidR="00000000" w:rsidDel="00000000" w:rsidP="00000000" w:rsidRDefault="00000000" w:rsidRPr="00000000" w14:paraId="0000004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0.1</w:t>
            </w:r>
          </w:p>
        </w:tc>
        <w:tc>
          <w:tcPr/>
          <w:p w:rsidR="00000000" w:rsidDel="00000000" w:rsidP="00000000" w:rsidRDefault="00000000" w:rsidRPr="00000000" w14:paraId="0000004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0.12</w:t>
            </w:r>
          </w:p>
        </w:tc>
        <w:tc>
          <w:tcPr/>
          <w:p w:rsidR="00000000" w:rsidDel="00000000" w:rsidP="00000000" w:rsidRDefault="00000000" w:rsidRPr="00000000" w14:paraId="0000004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4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0.085</w:t>
            </w:r>
          </w:p>
        </w:tc>
      </w:tr>
    </w:tbl>
    <w:p w:rsidR="00000000" w:rsidDel="00000000" w:rsidP="00000000" w:rsidRDefault="00000000" w:rsidRPr="00000000" w14:paraId="0000004E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83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06"/>
        <w:tblGridChange w:id="0">
          <w:tblGrid>
            <w:gridCol w:w="83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ccccff" w:val="clea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ניתוח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תוצאות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הניסוי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1">
      <w:pPr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jc w:val="center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0" distT="0" distL="0" distR="0">
            <wp:extent cx="4572000" cy="2743200"/>
            <wp:effectExtent b="0" l="0" r="0" t="0"/>
            <wp:docPr id="2" name=""/>
            <a:graphic>
              <a:graphicData uri="http://schemas.openxmlformats.org/drawingml/2006/chart">
                <c:chart r:id="rId14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355034</wp:posOffset>
                </wp:positionH>
                <wp:positionV relativeFrom="paragraph">
                  <wp:posOffset>445561</wp:posOffset>
                </wp:positionV>
                <wp:extent cx="4843145" cy="1444625"/>
                <wp:effectExtent b="0" l="1270" r="3810" t="3175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843145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:rsidR="00A516D3" w:rsidDel="00000000" w:rsidP="00461AA6" w:rsidRDefault="00A516D3" w:rsidRPr="004E23F3">
                            <w:pPr>
                              <w:rPr>
                                <w:rFonts w:asciiTheme="majorHAnsi" w:cstheme="majorHAnsi" w:hAnsiTheme="majorHAnsi"/>
                                <w:rtl w:val="1"/>
                              </w:rPr>
                            </w:pP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 xml:space="preserve">הפונקציה שקיבלנו מייצגת קשר ליניארי בין </w:t>
                            </w:r>
                            <w:r w:rsidDel="00000000" w:rsidR="00CB3987" w:rsidRPr="00000000">
                              <w:rPr>
                                <w:rFonts w:asciiTheme="majorHAnsi" w:cstheme="majorHAnsi" w:hAnsiTheme="majorHAnsi" w:hint="cs"/>
                                <w:rtl w:val="1"/>
                              </w:rPr>
                              <w:t>התארכות הקפיץ</w:t>
                            </w: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 xml:space="preserve"> בציר האנכי לבין </w:t>
                            </w:r>
                            <w:r w:rsidDel="00000000" w:rsidR="00EA7F8E" w:rsidRPr="00000000">
                              <w:rPr>
                                <w:rFonts w:asciiTheme="majorHAnsi" w:cstheme="majorHAnsi" w:hAnsiTheme="majorHAnsi" w:hint="cs"/>
                                <w:rtl w:val="1"/>
                              </w:rPr>
                              <w:t>הכוח הפועל עליו</w:t>
                            </w: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>.</w:t>
                            </w:r>
                          </w:p>
                          <w:p w:rsidR="00A516D3" w:rsidDel="00000000" w:rsidP="00EA7F8E" w:rsidRDefault="00A516D3" w:rsidRPr="004E23F3">
                            <w:pPr>
                              <w:rPr>
                                <w:rFonts w:asciiTheme="majorHAnsi" w:cstheme="majorHAnsi" w:hAnsiTheme="majorHAnsi"/>
                                <w:rtl w:val="1"/>
                              </w:rPr>
                            </w:pP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 xml:space="preserve">כאשר השיפוע מייצג את </w:t>
                            </w:r>
                            <w:r w:rsidDel="00000000" w:rsidR="00EA7F8E" w:rsidRPr="00000000">
                              <w:rPr>
                                <w:rFonts w:asciiTheme="majorHAnsi" w:cstheme="majorHAnsi" w:hAnsiTheme="majorHAnsi" w:hint="cs"/>
                                <w:rtl w:val="1"/>
                              </w:rPr>
                              <w:t>ההופכי לקבוע הקפיץ.</w:t>
                            </w: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 xml:space="preserve">, כלומר </w:t>
                            </w:r>
                            <w:r w:rsidDel="00000000" w:rsidR="00EA7F8E" w:rsidRPr="004E23F3">
                              <w:rPr>
                                <w:rFonts w:asciiTheme="majorHAnsi" w:cstheme="majorHAnsi" w:hAnsiTheme="majorHAnsi"/>
                                <w:position w:val="-10"/>
                              </w:rPr>
                              <w:object w:dxaOrig="744" w:dyaOrig="348">
                                <v:shape id="_x0000_i1026" style="width:37.4pt;height:17.75pt" type="#_x0000_t75">
                                  <v:imagedata r:id="rId1" o:title=""/>
                                </v:shape>
                                <o:OLEObject DrawAspect="Content" r:id="rId2" ObjectID="_1611417464" ProgID="Equation.3" ShapeID="_x0000_i1026" Type="Embed"/>
                              </w:object>
                            </w:r>
                            <w:r w:rsidDel="00000000" w:rsidR="00EA7F8E" w:rsidRPr="00000000">
                              <w:rPr>
                                <w:rFonts w:asciiTheme="majorHAnsi" w:cstheme="majorHAnsi" w:hAnsiTheme="majorHAnsi"/>
                              </w:rPr>
                              <w:t>k = 13.88</w:t>
                            </w: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>.</w:t>
                            </w:r>
                          </w:p>
                          <w:p w:rsidR="00A516D3" w:rsidDel="00000000" w:rsidP="00EA7F8E" w:rsidRDefault="00A516D3" w:rsidRPr="004E23F3">
                            <w:pPr>
                              <w:rPr>
                                <w:rFonts w:asciiTheme="majorHAnsi" w:cstheme="majorHAnsi" w:hAnsiTheme="majorHAnsi"/>
                                <w:rtl w:val="1"/>
                              </w:rPr>
                            </w:pP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 xml:space="preserve">נחשב אחוזי שגיאה כאשר ערך </w:t>
                            </w:r>
                            <w:r w:rsidDel="00000000" w:rsidR="00EA7F8E" w:rsidRPr="00000000">
                              <w:rPr>
                                <w:rFonts w:asciiTheme="majorHAnsi" w:cstheme="majorHAnsi" w:hAnsiTheme="majorHAnsi" w:hint="cs"/>
                                <w:rtl w:val="1"/>
                              </w:rPr>
                              <w:t xml:space="preserve">קבוע הקפיץ הינו </w:t>
                            </w:r>
                            <w:r w:rsidDel="00000000" w:rsidR="00EA7F8E" w:rsidRPr="004E23F3">
                              <w:rPr>
                                <w:rFonts w:asciiTheme="majorHAnsi" w:cstheme="majorHAnsi" w:hAnsiTheme="majorHAnsi"/>
                                <w:position w:val="-10"/>
                              </w:rPr>
                              <w:object w:dxaOrig="744" w:dyaOrig="348">
                                <v:shape id="_x0000_i1028" style="width:37.4pt;height:17.75pt" type="#_x0000_t75">
                                  <v:imagedata r:id="rId3" o:title=""/>
                                </v:shape>
                                <o:OLEObject DrawAspect="Content" r:id="rId4" ObjectID="_1611417465" ProgID="Equation.3" ShapeID="_x0000_i1028" Type="Embed"/>
                              </w:object>
                            </w:r>
                            <w:r w:rsidDel="00000000" w:rsidR="00EA7F8E" w:rsidRPr="00000000">
                              <w:rPr>
                                <w:rFonts w:asciiTheme="majorHAnsi" w:cstheme="majorHAnsi" w:hAnsiTheme="majorHAnsi"/>
                              </w:rPr>
                              <w:t xml:space="preserve"> 13</w:t>
                            </w: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>:</w:t>
                            </w:r>
                          </w:p>
                          <w:p w:rsidR="00A516D3" w:rsidDel="00000000" w:rsidP="00A516D3" w:rsidRDefault="00A516D3" w:rsidRPr="004E23F3">
                            <w:pPr>
                              <w:rPr>
                                <w:rFonts w:asciiTheme="majorHAnsi" w:cstheme="majorHAnsi" w:hAnsiTheme="majorHAnsi"/>
                                <w:rtl w:val="1"/>
                              </w:rPr>
                            </w:pP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position w:val="-10"/>
                              </w:rPr>
                              <w:object w:dxaOrig="174" w:dyaOrig="332">
                                <v:shape id="_x0000_i1030" style="width:8.4pt;height:16.85pt" type="#_x0000_t75">
                                  <v:imagedata r:id="rId5" o:title=""/>
                                </v:shape>
                                <o:OLEObject DrawAspect="Content" r:id="rId6" ObjectID="_1611417466" ProgID="Equation.3" ShapeID="_x0000_i1030" Type="Embed"/>
                              </w:object>
                            </w:r>
                            <w:r w:rsidDel="00000000" w:rsidR="00461AA6" w:rsidRPr="004E23F3">
                              <w:rPr>
                                <w:rFonts w:asciiTheme="majorHAnsi" w:cstheme="majorHAnsi" w:hAnsiTheme="majorHAnsi"/>
                                <w:position w:val="-24"/>
                              </w:rPr>
                              <w:object w:dxaOrig="2500" w:dyaOrig="617">
                                <v:shape id="_x0000_i1032" style="width:125.3pt;height:30.85pt" type="#_x0000_t75">
                                  <v:imagedata r:id="rId7" o:title=""/>
                                </v:shape>
                                <o:OLEObject DrawAspect="Content" r:id="rId8" ObjectID="_1611417467" ProgID="Equation.3" ShapeID="_x0000_i1032" Type="Embed"/>
                              </w:object>
                            </w:r>
                            <w:r w:rsidDel="00000000" w:rsidR="00000000" w:rsidRPr="004E23F3">
                              <w:rPr>
                                <w:rFonts w:asciiTheme="majorHAnsi" w:cstheme="majorHAnsi" w:hAnsiTheme="majorHAnsi"/>
                                <w:rtl w:val="1"/>
                              </w:rPr>
                              <w:t>.</w:t>
                            </w:r>
                          </w:p>
                          <w:p w:rsidR="00A516D3" w:rsidDel="00000000" w:rsidP="00A516D3" w:rsidRDefault="00A516D3" w:rsidRPr="00000000">
                            <w:pPr>
                              <w:rPr>
                                <w:rtl w:val="1"/>
                                <w:cs w:val="1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355034</wp:posOffset>
                </wp:positionH>
                <wp:positionV relativeFrom="paragraph">
                  <wp:posOffset>445561</wp:posOffset>
                </wp:positionV>
                <wp:extent cx="4848225" cy="1447800"/>
                <wp:effectExtent b="0" l="0" r="0" t="0"/>
                <wp:wrapSquare wrapText="bothSides" distB="45720" distT="4572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8225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6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 Math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בס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"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ד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ab/>
      <w:t xml:space="preserve">                                                        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חוק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הוק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–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מוריה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פייגלין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,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תאיר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ויינשטיין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ויעל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אברג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'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1"/>
      </w:rPr>
      <w:t xml:space="preserve">ל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ntTable" Target="fontTable.xml"/><Relationship Id="rId10" Type="http://schemas.openxmlformats.org/officeDocument/2006/relationships/settings" Target="settings.xml"/><Relationship Id="rId13" Type="http://schemas.openxmlformats.org/officeDocument/2006/relationships/styles" Target="styles.xml"/><Relationship Id="rId12" Type="http://schemas.openxmlformats.org/officeDocument/2006/relationships/numbering" Target="numbering.xml"/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9" Type="http://schemas.openxmlformats.org/officeDocument/2006/relationships/theme" Target="theme/theme1.xml"/><Relationship Id="rId15" Type="http://schemas.openxmlformats.org/officeDocument/2006/relationships/image" Target="media/image5.png"/><Relationship Id="rId14" Type="http://schemas.openxmlformats.org/officeDocument/2006/relationships/chart" Target="charts/chart1.xml"/><Relationship Id="rId16" Type="http://schemas.openxmlformats.org/officeDocument/2006/relationships/header" Target="header1.xml"/><Relationship Id="rId5" Type="http://schemas.openxmlformats.org/officeDocument/2006/relationships/image" Target="media/image3.wmf"/><Relationship Id="rId6" Type="http://schemas.openxmlformats.org/officeDocument/2006/relationships/oleObject" Target="embeddings/oleObject3.bin"/><Relationship Id="rId7" Type="http://schemas.openxmlformats.org/officeDocument/2006/relationships/image" Target="media/image4.wmf"/><Relationship Id="rId8" Type="http://schemas.openxmlformats.org/officeDocument/2006/relationships/oleObject" Target="embeddings/oleObject4.bin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oleObject" Target="file:///C:\Users\magshimim\Desktop\&#1512;&#1513;&#1501;%20&#1494;&#1502;&#15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1100"/>
              <a:t>שינוי</a:t>
            </a:r>
            <a:r>
              <a:rPr lang="he-IL" sz="1100" baseline="0"/>
              <a:t> בהתארכות הקפיץ כפונקציה של הכוחות הפועלים על הגוף</a:t>
            </a:r>
            <a:endParaRPr lang="he-IL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intercept val="0"/>
            <c:dispRSqr val="1"/>
            <c:dispEq val="1"/>
            <c:trendlineLbl>
              <c:layout>
                <c:manualLayout>
                  <c:x val="-0.11433508311461067"/>
                  <c:y val="-4.6613444152814234E-3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קפיץ!$B$20:$B$26</c:f>
              <c:numCache>
                <c:formatCode>General</c:formatCode>
                <c:ptCount val="7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</c:numCache>
            </c:numRef>
          </c:xVal>
          <c:yVal>
            <c:numRef>
              <c:f>קפיץ!$C$20:$C$26</c:f>
              <c:numCache>
                <c:formatCode>General</c:formatCode>
                <c:ptCount val="7"/>
                <c:pt idx="0">
                  <c:v>0</c:v>
                </c:pt>
                <c:pt idx="1">
                  <c:v>1.4E-2</c:v>
                </c:pt>
                <c:pt idx="2">
                  <c:v>2.9000000000000001E-2</c:v>
                </c:pt>
                <c:pt idx="3">
                  <c:v>4.3999999999999997E-2</c:v>
                </c:pt>
                <c:pt idx="4">
                  <c:v>5.8000000000000003E-2</c:v>
                </c:pt>
                <c:pt idx="5">
                  <c:v>7.2999999999999995E-2</c:v>
                </c:pt>
                <c:pt idx="6">
                  <c:v>8.5000000000000006E-2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0B90-4B49-B319-F7CBEA2F75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2284415"/>
        <c:axId val="1152281919"/>
      </c:scatterChart>
      <c:valAx>
        <c:axId val="11522844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הכוח</a:t>
                </a:r>
                <a:r>
                  <a:rPr lang="he-IL" baseline="0"/>
                  <a:t> הפועל על קפיץ [</a:t>
                </a:r>
                <a:r>
                  <a:rPr lang="en-US" baseline="0"/>
                  <a:t>N</a:t>
                </a:r>
                <a:r>
                  <a:rPr lang="he-IL" baseline="0"/>
                  <a:t>]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2281919"/>
        <c:crosses val="autoZero"/>
        <c:crossBetween val="midCat"/>
      </c:valAx>
      <c:valAx>
        <c:axId val="11522819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he-IL"/>
                  <a:t> שינוי</a:t>
                </a:r>
                <a:r>
                  <a:rPr lang="he-IL" baseline="0"/>
                  <a:t> באורך הקפיץ [</a:t>
                </a:r>
                <a:r>
                  <a:rPr lang="en-GB" baseline="0"/>
                  <a:t>m</a:t>
                </a:r>
                <a:r>
                  <a:rPr lang="he-IL" baseline="0"/>
                  <a:t>]</a:t>
                </a:r>
                <a:endParaRPr lang="he-IL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2284415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